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3"/>
        <w:tblW w:w="14355" w:type="dxa"/>
        <w:jc w:val="center"/>
        <w:tblLayout w:type="fixed"/>
        <w:tblCellMar>
          <w:top w:w="0" w:type="dxa"/>
          <w:left w:w="108" w:type="dxa"/>
          <w:bottom w:w="0" w:type="dxa"/>
          <w:right w:w="108" w:type="dxa"/>
        </w:tblCellMar>
      </w:tblPr>
      <w:tblGrid>
        <w:gridCol w:w="1395"/>
        <w:gridCol w:w="1575"/>
        <w:gridCol w:w="1387"/>
        <w:gridCol w:w="3600"/>
        <w:gridCol w:w="1075"/>
        <w:gridCol w:w="2275"/>
        <w:gridCol w:w="1850"/>
        <w:gridCol w:w="1198"/>
      </w:tblGrid>
      <w:tr>
        <w:tblPrEx>
          <w:tblCellMar>
            <w:top w:w="0" w:type="dxa"/>
            <w:left w:w="108" w:type="dxa"/>
            <w:bottom w:w="0" w:type="dxa"/>
            <w:right w:w="108" w:type="dxa"/>
          </w:tblCellMar>
        </w:tblPrEx>
        <w:trPr>
          <w:trHeight w:val="737" w:hRule="atLeast"/>
          <w:jc w:val="center"/>
        </w:trPr>
        <w:tc>
          <w:tcPr>
            <w:tcW w:w="14355" w:type="dxa"/>
            <w:gridSpan w:val="8"/>
            <w:tcBorders>
              <w:top w:val="nil"/>
              <w:left w:val="nil"/>
              <w:bottom w:val="nil"/>
              <w:right w:val="nil"/>
            </w:tcBorders>
            <w:shd w:val="clear" w:color="auto" w:fill="auto"/>
            <w:noWrap/>
            <w:vAlign w:val="center"/>
          </w:tcPr>
          <w:p>
            <w:pPr>
              <w:jc w:val="center"/>
              <w:textAlignment w:val="center"/>
              <w:rPr>
                <w:rFonts w:ascii="方正小标宋简体" w:hAnsi="宋体" w:eastAsia="方正小标宋简体" w:cs="宋体"/>
                <w:color w:val="000000"/>
                <w:sz w:val="44"/>
                <w:szCs w:val="44"/>
              </w:rPr>
            </w:pPr>
            <w:bookmarkStart w:id="0" w:name="_GoBack"/>
            <w:bookmarkEnd w:id="0"/>
            <w:r>
              <w:rPr>
                <w:rFonts w:hint="eastAsia" w:ascii="方正小标宋简体" w:hAnsi="宋体" w:eastAsia="方正小标宋简体" w:cs="宋体"/>
                <w:color w:val="000000"/>
                <w:sz w:val="44"/>
                <w:szCs w:val="44"/>
                <w:lang w:bidi="ar"/>
              </w:rPr>
              <w:t>巴文化传承发展研究中心2023年度拟立项项目汇总表</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lang w:bidi="ar"/>
              </w:rPr>
            </w:pPr>
            <w:r>
              <w:rPr>
                <w:rFonts w:hint="eastAsia" w:ascii="黑体" w:hAnsi="黑体" w:eastAsia="黑体" w:cs="黑体"/>
                <w:color w:val="000000"/>
                <w:lang w:bidi="ar"/>
              </w:rPr>
              <w:t>项目编号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bidi="ar"/>
              </w:rPr>
              <w:t>单  位</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bidi="ar"/>
              </w:rPr>
              <w:t>项目类型</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黑体" w:eastAsia="黑体" w:cs="黑体"/>
                <w:color w:val="000000"/>
              </w:rPr>
            </w:pPr>
            <w:r>
              <w:rPr>
                <w:rFonts w:hint="eastAsia" w:ascii="黑体" w:hAnsi="黑体" w:eastAsia="黑体" w:cs="黑体"/>
                <w:color w:val="000000"/>
                <w:lang w:bidi="ar"/>
              </w:rPr>
              <w:t>项目名称</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before="100" w:beforeAutospacing="1" w:after="100" w:afterAutospacing="1"/>
              <w:jc w:val="center"/>
              <w:textAlignment w:val="center"/>
              <w:rPr>
                <w:rFonts w:ascii="黑体" w:hAnsi="黑体" w:eastAsia="黑体" w:cs="黑体"/>
                <w:color w:val="000000"/>
                <w:lang w:bidi="ar"/>
              </w:rPr>
            </w:pPr>
            <w:r>
              <w:rPr>
                <w:rFonts w:hint="eastAsia" w:ascii="黑体" w:hAnsi="黑体" w:eastAsia="黑体" w:cs="黑体"/>
                <w:color w:val="000000"/>
                <w:lang w:bidi="ar"/>
              </w:rPr>
              <w:t>负责人</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bidi="ar"/>
              </w:rPr>
              <w:t>项目组成员</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黑体" w:hAnsi="黑体" w:eastAsia="黑体" w:cs="黑体"/>
              </w:rPr>
            </w:pPr>
            <w:r>
              <w:rPr>
                <w:rFonts w:hint="eastAsia" w:ascii="黑体" w:hAnsi="黑体" w:eastAsia="黑体" w:cs="黑体"/>
              </w:rPr>
              <w:t>项目起止年月</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320" w:lineRule="exact"/>
              <w:jc w:val="center"/>
              <w:rPr>
                <w:rFonts w:ascii="黑体" w:hAnsi="黑体" w:eastAsia="黑体" w:cs="黑体"/>
              </w:rPr>
            </w:pPr>
            <w:r>
              <w:rPr>
                <w:rFonts w:hint="eastAsia" w:ascii="黑体" w:hAnsi="黑体" w:eastAsia="黑体" w:cs="黑体"/>
              </w:rPr>
              <w:t>资助经费（万元）</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BCF2023ZD01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成都大学</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重点项目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巴蜀民间艺术的视听媒介重构与融合传承研究</w:t>
            </w:r>
          </w:p>
        </w:tc>
        <w:tc>
          <w:tcPr>
            <w:tcW w:w="107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张娟</w:t>
            </w:r>
          </w:p>
        </w:tc>
        <w:tc>
          <w:tcPr>
            <w:tcW w:w="227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olor w:val="000000"/>
                <w:sz w:val="20"/>
                <w:szCs w:val="20"/>
              </w:rPr>
              <w:t>杨继芳</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.8</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BCF2023ZD02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重点项目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《第一批古代名碑名刻文物名录》中达州二阙的历代著录整理与当代价值挖掘</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陆峰</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 w:val="20"/>
                <w:szCs w:val="20"/>
              </w:rPr>
            </w:pPr>
            <w:r>
              <w:rPr>
                <w:rFonts w:hint="eastAsia" w:ascii="仿宋" w:hAnsi="仿宋" w:eastAsia="仿宋"/>
                <w:color w:val="000000"/>
                <w:sz w:val="20"/>
                <w:szCs w:val="20"/>
              </w:rPr>
              <w:t>王青、郭岩、张文强、何绪虎、尹义桐、成人杰</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.8</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hint="eastAsia" w:ascii="仿宋" w:hAnsi="仿宋" w:eastAsia="仿宋" w:cs="仿宋"/>
                <w:sz w:val="20"/>
                <w:szCs w:val="20"/>
              </w:rPr>
              <w:t>B</w:t>
            </w:r>
            <w:r>
              <w:rPr>
                <w:rFonts w:ascii="仿宋" w:hAnsi="仿宋" w:eastAsia="仿宋" w:cs="仿宋"/>
                <w:sz w:val="20"/>
                <w:szCs w:val="20"/>
              </w:rPr>
              <w:t>CF2023YB01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东坡文化英美译介、传播与接受研究</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邱食存</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逯宏、郑升、王琳、梅克寒</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达州市委党校</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线性文化遗产米仓古道截贤岭段活化利用路径探索</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董成鹏</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王冬莱、孙红霞</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重庆文理学院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图像学视角下巴人图腾文化的当代传承与创新研究</w:t>
            </w:r>
          </w:p>
        </w:tc>
        <w:tc>
          <w:tcPr>
            <w:tcW w:w="1075" w:type="dxa"/>
            <w:tcBorders>
              <w:top w:val="nil"/>
              <w:left w:val="single" w:color="auto" w:sz="4" w:space="0"/>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姜龙</w:t>
            </w:r>
          </w:p>
        </w:tc>
        <w:tc>
          <w:tcPr>
            <w:tcW w:w="227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姜嫄、黄艺、刘瑜、文静、李淼</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宣汉罗家坝遗址青铜戈物象“空间”研究</w:t>
            </w:r>
          </w:p>
        </w:tc>
        <w:tc>
          <w:tcPr>
            <w:tcW w:w="1075"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胡川</w:t>
            </w:r>
          </w:p>
        </w:tc>
        <w:tc>
          <w:tcPr>
            <w:tcW w:w="2275"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赖琳、李炎、吴洪业、孟云豪、王兆旺</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罗家坝遗址出土印章中的图腾化表达与祭祀性隐喻</w:t>
            </w:r>
          </w:p>
        </w:tc>
        <w:tc>
          <w:tcPr>
            <w:tcW w:w="107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张文强</w:t>
            </w:r>
          </w:p>
        </w:tc>
        <w:tc>
          <w:tcPr>
            <w:tcW w:w="227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郭岩、陆峰、何绪虎、成人杰、李芬、陈刚、张浩然</w:t>
            </w:r>
          </w:p>
        </w:tc>
        <w:tc>
          <w:tcPr>
            <w:tcW w:w="1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渠县县委党校</w:t>
            </w:r>
          </w:p>
        </w:tc>
        <w:tc>
          <w:tcPr>
            <w:tcW w:w="138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汉代巴地的信仰与民俗研究-以渠县汉阙为考察对象</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寇磊</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白庆庆、王欢</w:t>
            </w:r>
          </w:p>
        </w:tc>
        <w:tc>
          <w:tcPr>
            <w:tcW w:w="18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BCF2023YB07</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渠县县委党校</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巴人的乐器文化及其美学意蕴-基于城坝遗址M45出土乐器分析</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伍泽平</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楚玉兰、寇磊</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四川师范大学</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川东巴文化区历史名人研究及数据库建设</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侯文权</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无</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巴文化与文旅产业融合发展的路径研究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桂玲玲</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李晓龙、王运、马菱苓、陈敏、胡欣</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宣汉中学</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巴文字符（土家祭祀文字）的注音、英译和相关研究</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季克军</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季克军、张国述、赵昌平、张明常、张高亮</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达州中医药职业学院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巴地端午药俗普及手册编写</w:t>
            </w:r>
          </w:p>
        </w:tc>
        <w:tc>
          <w:tcPr>
            <w:tcW w:w="107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杨海燕</w:t>
            </w:r>
          </w:p>
        </w:tc>
        <w:tc>
          <w:tcPr>
            <w:tcW w:w="2275"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石亮亮、唐荣伟、张银素</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巴地民间习俗的资源化研究——以三汇彩亭会为例</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胡郑丽</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闫伟、姜约、丁伟、季晓林</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重庆科技学院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巴域文学期刊与巴文化记忆传播研究</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罗蓉蓉</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王洪泉、李新、徐涛、师会敏、潘艳玲</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渠县县委党校</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巴域早期文明研究-基于渠县城坝遗址新旧石器时代考古发掘</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任静</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白庆庆、许园园</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BCF2023YB15</w:t>
            </w:r>
          </w:p>
        </w:tc>
        <w:tc>
          <w:tcPr>
            <w:tcW w:w="157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重庆文理学院</w:t>
            </w:r>
          </w:p>
        </w:tc>
        <w:tc>
          <w:tcPr>
            <w:tcW w:w="138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巫溪嫁花的当代传承与创新性发展研究</w:t>
            </w:r>
          </w:p>
        </w:tc>
        <w:tc>
          <w:tcPr>
            <w:tcW w:w="1075" w:type="dxa"/>
            <w:tcBorders>
              <w:top w:val="nil"/>
              <w:left w:val="nil"/>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杨柳</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倪华倩、刘丽丽、王彬、涂毅佳、夏冰月、于芳</w:t>
            </w:r>
          </w:p>
        </w:tc>
        <w:tc>
          <w:tcPr>
            <w:tcW w:w="18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BCF2023YB16</w:t>
            </w:r>
          </w:p>
        </w:tc>
        <w:tc>
          <w:tcPr>
            <w:tcW w:w="1575"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融媒体背景下巴文化传播与普及的创新路径研究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赵君星</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李红梅、何先成、黄建华、吴甘霖、杨玲</w:t>
            </w:r>
          </w:p>
        </w:tc>
        <w:tc>
          <w:tcPr>
            <w:tcW w:w="1850" w:type="dxa"/>
            <w:tcBorders>
              <w:top w:val="single" w:color="auto" w:sz="4" w:space="0"/>
              <w:left w:val="single" w:color="000000"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BCF2023YB17</w:t>
            </w: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达州市文物管理所</w:t>
            </w:r>
          </w:p>
        </w:tc>
        <w:tc>
          <w:tcPr>
            <w:tcW w:w="138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达州巴文化资源保护和转化利用研究</w:t>
            </w:r>
          </w:p>
        </w:tc>
        <w:tc>
          <w:tcPr>
            <w:tcW w:w="1075" w:type="dxa"/>
            <w:tcBorders>
              <w:top w:val="single" w:color="auto" w:sz="4" w:space="0"/>
              <w:left w:val="nil"/>
              <w:bottom w:val="single" w:color="auto" w:sz="4" w:space="0"/>
              <w:right w:val="single" w:color="auto" w:sz="4" w:space="0"/>
            </w:tcBorders>
            <w:shd w:val="clear" w:color="auto" w:fill="auto"/>
            <w:noWrap/>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安普义</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王平、蒋文斐、刘蒋、常统专</w:t>
            </w:r>
          </w:p>
        </w:tc>
        <w:tc>
          <w:tcPr>
            <w:tcW w:w="185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BCF2023YB18</w:t>
            </w:r>
          </w:p>
        </w:tc>
        <w:tc>
          <w:tcPr>
            <w:tcW w:w="157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达州市社科联</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秦汉时期巴蜀文化的发展与融合</w:t>
            </w:r>
          </w:p>
        </w:tc>
        <w:tc>
          <w:tcPr>
            <w:tcW w:w="10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王斌</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冯尧、常统专、冉容萍</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0"/>
                <w:szCs w:val="20"/>
              </w:rPr>
            </w:pPr>
            <w:r>
              <w:rPr>
                <w:rFonts w:ascii="仿宋" w:hAnsi="仿宋" w:eastAsia="仿宋" w:cs="仿宋"/>
                <w:sz w:val="20"/>
                <w:szCs w:val="20"/>
              </w:rPr>
              <w:t>BCF2023YB19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auto"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文化市场视角下达州市巴文化资源开发模式探析</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王丽明</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卢双鹏、陈国柱</w:t>
            </w:r>
          </w:p>
        </w:tc>
        <w:tc>
          <w:tcPr>
            <w:tcW w:w="1850" w:type="dxa"/>
            <w:tcBorders>
              <w:top w:val="single" w:color="auto"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BCF2023YB20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基于空间分析视角的川东巴文化旅游资源整合研究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李小璨</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沈权文、许益华</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BCF2023YB21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渠县賨人文化外译研究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吴姗姗</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刘彦仕、邓飞、乔方燕</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BCF2023YB22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巴賨文化资源整合与有声传播路径研究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白海</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王赠怡、曾宪文、邓维维、张颖宏、李飞</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BCF2023YB23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民族乐器在巴中皮影戏中的运用研究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雷沫</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唐贤美、曾倩、王雪冰</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0"/>
                <w:szCs w:val="20"/>
              </w:rPr>
            </w:pPr>
            <w:r>
              <w:rPr>
                <w:rFonts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BCF2023YB24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一般项目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美学经济驱动下巴文化产业转化动力研究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周秋银</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olor w:val="000000"/>
                <w:sz w:val="20"/>
                <w:szCs w:val="20"/>
              </w:rPr>
            </w:pPr>
            <w:r>
              <w:rPr>
                <w:rFonts w:hint="eastAsia" w:ascii="仿宋" w:hAnsi="仿宋" w:eastAsia="仿宋"/>
                <w:color w:val="000000"/>
                <w:sz w:val="20"/>
                <w:szCs w:val="20"/>
              </w:rPr>
              <w:t>王赠怡、李晓龙、刘术、刘强、周乾坤、张思源、许培</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0"/>
                <w:szCs w:val="20"/>
              </w:rPr>
            </w:pPr>
            <w:r>
              <w:rPr>
                <w:rFonts w:ascii="仿宋" w:hAnsi="仿宋" w:eastAsia="仿宋" w:cs="仿宋"/>
                <w:sz w:val="20"/>
                <w:szCs w:val="20"/>
              </w:rPr>
              <w:t>2023.12-2025.12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r>
              <w:rPr>
                <w:rFonts w:ascii="仿宋" w:hAnsi="仿宋" w:eastAsia="仿宋" w:cs="宋体"/>
                <w:color w:val="000000"/>
                <w:sz w:val="20"/>
                <w:szCs w:val="20"/>
              </w:rPr>
              <w:t>.5</w:t>
            </w:r>
          </w:p>
        </w:tc>
      </w:tr>
      <w:tr>
        <w:tblPrEx>
          <w:tblCellMar>
            <w:top w:w="0" w:type="dxa"/>
            <w:left w:w="108" w:type="dxa"/>
            <w:bottom w:w="0" w:type="dxa"/>
            <w:right w:w="108" w:type="dxa"/>
          </w:tblCellMar>
        </w:tblPrEx>
        <w:trPr>
          <w:trHeight w:val="737" w:hRule="atLeast"/>
          <w:jc w:val="center"/>
        </w:trPr>
        <w:tc>
          <w:tcPr>
            <w:tcW w:w="139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BCF2023ZC01</w:t>
            </w:r>
          </w:p>
        </w:tc>
        <w:tc>
          <w:tcPr>
            <w:tcW w:w="157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达州职业技术学院</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巴地非物质文化遗产——马渡民歌的生产性保护与产业开发研究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杜兰</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杜兰、黄尚军、胡斌、李武、杜小茜</w:t>
            </w:r>
          </w:p>
        </w:tc>
        <w:tc>
          <w:tcPr>
            <w:tcW w:w="185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BCF2023ZC02</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西南医科大学</w:t>
            </w:r>
          </w:p>
        </w:tc>
        <w:tc>
          <w:tcPr>
            <w:tcW w:w="138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近代巴地武术发展研究-以四川地方志为中心</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林千枫</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刘中强、李胜领、胡哲、孙富强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BCF2023ZC03</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万源市戏剧类非物质文化遗产保护与传承研究——以“彩龙船”为例</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朱小平</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刘缤鸿、张旭源</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BCF2023ZC04</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巴渠河川剧保护与传承研究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梁云</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刘丹、邓丽、汤海生、黄珊</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 w:val="20"/>
                <w:szCs w:val="20"/>
              </w:rPr>
            </w:pPr>
            <w:r>
              <w:rPr>
                <w:rFonts w:ascii="仿宋" w:hAnsi="仿宋" w:eastAsia="仿宋" w:cs="宋体"/>
                <w:color w:val="000000"/>
                <w:sz w:val="20"/>
                <w:szCs w:val="20"/>
              </w:rPr>
              <w:t>BCF2023ZC05</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四川文理学院</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巴文化“活态传承”的创新呈现机制研究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焦国松</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陈红强、杨双燕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BCF2023ZC06</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渠县县委党校</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我市巴文化高地建设的现状、问题与对策研究-以渠县“打造全国巴文化探源融合创新发展高地”为例</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金玉容</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楚玉兰、白庆庆、蔡义涛</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BCF2023ZC07</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西华师范大学</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巴地红色歌谣推进大中小学思政课一体化建设研究</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任凌云</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李瑛、刘川、刘伟、吕晓娜</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BCF2023ZC08</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达州职业技术学院</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数字技术促进巴文化与地方旅游产业深度融合发展的机制与路径研究</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高振</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莫慧波、董铃、陈也、易正容</w:t>
            </w:r>
          </w:p>
        </w:tc>
        <w:tc>
          <w:tcPr>
            <w:tcW w:w="185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仿宋" w:hAnsi="仿宋" w:eastAsia="仿宋" w:cs="仿宋"/>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BCF2023ZC09</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达州职业技术学院</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nil"/>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巴文化融入大学生理想信念教育的逻辑机理与创新路径研究</w:t>
            </w:r>
          </w:p>
        </w:tc>
        <w:tc>
          <w:tcPr>
            <w:tcW w:w="10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李雪梅</w:t>
            </w:r>
          </w:p>
        </w:tc>
        <w:tc>
          <w:tcPr>
            <w:tcW w:w="2275" w:type="dxa"/>
            <w:tcBorders>
              <w:top w:val="nil"/>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黄占波、高玉芹、张田、唐娟</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BCF2023ZC10</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达州职业技术学院</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达州巴文化资源赋能职业教育在文化强市中的实践研究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吴忧</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罗志文、杨征权、杜兰、高玉芹、唐娟</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r>
        <w:tblPrEx>
          <w:tblCellMar>
            <w:top w:w="0" w:type="dxa"/>
            <w:left w:w="108" w:type="dxa"/>
            <w:bottom w:w="0" w:type="dxa"/>
            <w:right w:w="108" w:type="dxa"/>
          </w:tblCellMar>
        </w:tblPrEx>
        <w:trPr>
          <w:trHeight w:val="737"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ascii="仿宋" w:hAnsi="仿宋" w:eastAsia="仿宋" w:cs="宋体"/>
                <w:color w:val="000000"/>
                <w:sz w:val="20"/>
                <w:szCs w:val="20"/>
              </w:rPr>
              <w:t>BCF2023ZC11</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成都大学</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自筹项目</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可以玩的川剧文化——动漫游视域下的川剧传承策略研究</w:t>
            </w:r>
          </w:p>
        </w:tc>
        <w:tc>
          <w:tcPr>
            <w:tcW w:w="10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罗丁</w:t>
            </w:r>
          </w:p>
        </w:tc>
        <w:tc>
          <w:tcPr>
            <w:tcW w:w="2275"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olor w:val="000000"/>
                <w:sz w:val="20"/>
                <w:szCs w:val="20"/>
              </w:rPr>
              <w:t>彭红璐、杜鑫、钟骥、王岩松、余洪</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sz w:val="20"/>
                <w:szCs w:val="20"/>
              </w:rPr>
            </w:pPr>
            <w:r>
              <w:rPr>
                <w:rFonts w:hint="eastAsia" w:ascii="仿宋" w:hAnsi="仿宋" w:eastAsia="仿宋" w:cs="仿宋"/>
                <w:sz w:val="20"/>
                <w:szCs w:val="20"/>
              </w:rPr>
              <w:t>2023.12-2025.12</w:t>
            </w:r>
          </w:p>
        </w:tc>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宋体"/>
                <w:color w:val="000000"/>
                <w:sz w:val="20"/>
                <w:szCs w:val="20"/>
              </w:rPr>
            </w:pPr>
            <w:r>
              <w:rPr>
                <w:rFonts w:hint="eastAsia" w:ascii="仿宋" w:hAnsi="仿宋" w:eastAsia="仿宋" w:cs="宋体"/>
                <w:color w:val="000000"/>
                <w:sz w:val="20"/>
                <w:szCs w:val="20"/>
              </w:rPr>
              <w:t>0</w:t>
            </w:r>
          </w:p>
        </w:tc>
      </w:tr>
    </w:tbl>
    <w:p>
      <w:pPr>
        <w:jc w:val="center"/>
      </w:pPr>
    </w:p>
    <w:sectPr>
      <w:pgSz w:w="16839" w:h="11906" w:orient="landscape"/>
      <w:pgMar w:top="1800" w:right="1440" w:bottom="1800" w:left="144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jU3ZmI1OWMwODc4OGQ4YmI3ZjkzMWRhN2I2NDkifQ=="/>
  </w:docVars>
  <w:rsids>
    <w:rsidRoot w:val="00E86A2A"/>
    <w:rsid w:val="000337F1"/>
    <w:rsid w:val="000A745B"/>
    <w:rsid w:val="000C03F1"/>
    <w:rsid w:val="000C7B2D"/>
    <w:rsid w:val="00144DC9"/>
    <w:rsid w:val="001C0FA3"/>
    <w:rsid w:val="001F1EC8"/>
    <w:rsid w:val="00207F8B"/>
    <w:rsid w:val="00230707"/>
    <w:rsid w:val="00245522"/>
    <w:rsid w:val="002477DF"/>
    <w:rsid w:val="00251CED"/>
    <w:rsid w:val="00327700"/>
    <w:rsid w:val="003A1752"/>
    <w:rsid w:val="003C04FD"/>
    <w:rsid w:val="00411F33"/>
    <w:rsid w:val="0043748A"/>
    <w:rsid w:val="0044223F"/>
    <w:rsid w:val="0044568F"/>
    <w:rsid w:val="004537B2"/>
    <w:rsid w:val="004679BB"/>
    <w:rsid w:val="0048424A"/>
    <w:rsid w:val="004C1077"/>
    <w:rsid w:val="005D11D0"/>
    <w:rsid w:val="00602110"/>
    <w:rsid w:val="006062E8"/>
    <w:rsid w:val="006318B3"/>
    <w:rsid w:val="00642BB0"/>
    <w:rsid w:val="0064728F"/>
    <w:rsid w:val="00662CC2"/>
    <w:rsid w:val="00676FA6"/>
    <w:rsid w:val="006C16A7"/>
    <w:rsid w:val="00707741"/>
    <w:rsid w:val="00752375"/>
    <w:rsid w:val="007725B2"/>
    <w:rsid w:val="00787214"/>
    <w:rsid w:val="00796A6E"/>
    <w:rsid w:val="007B0396"/>
    <w:rsid w:val="008101A3"/>
    <w:rsid w:val="00816B2B"/>
    <w:rsid w:val="008226FC"/>
    <w:rsid w:val="00835243"/>
    <w:rsid w:val="00835A3D"/>
    <w:rsid w:val="00840312"/>
    <w:rsid w:val="008B23E5"/>
    <w:rsid w:val="008C1D0C"/>
    <w:rsid w:val="009419C7"/>
    <w:rsid w:val="009535D2"/>
    <w:rsid w:val="00993AEF"/>
    <w:rsid w:val="00997E7F"/>
    <w:rsid w:val="009E5865"/>
    <w:rsid w:val="009F1532"/>
    <w:rsid w:val="009F53F9"/>
    <w:rsid w:val="00A31E43"/>
    <w:rsid w:val="00A3217F"/>
    <w:rsid w:val="00A3378D"/>
    <w:rsid w:val="00A61A9F"/>
    <w:rsid w:val="00A87E60"/>
    <w:rsid w:val="00AA5E63"/>
    <w:rsid w:val="00AB071C"/>
    <w:rsid w:val="00AB667A"/>
    <w:rsid w:val="00AE480F"/>
    <w:rsid w:val="00B35F8E"/>
    <w:rsid w:val="00B559F0"/>
    <w:rsid w:val="00B62E9D"/>
    <w:rsid w:val="00B9331F"/>
    <w:rsid w:val="00B966BF"/>
    <w:rsid w:val="00BD4090"/>
    <w:rsid w:val="00BF6E15"/>
    <w:rsid w:val="00C30144"/>
    <w:rsid w:val="00CA13D6"/>
    <w:rsid w:val="00CE2866"/>
    <w:rsid w:val="00CF3DAF"/>
    <w:rsid w:val="00D166B0"/>
    <w:rsid w:val="00D4581F"/>
    <w:rsid w:val="00D51C03"/>
    <w:rsid w:val="00D80D2C"/>
    <w:rsid w:val="00D9321C"/>
    <w:rsid w:val="00DC349C"/>
    <w:rsid w:val="00DD6541"/>
    <w:rsid w:val="00E16559"/>
    <w:rsid w:val="00E31465"/>
    <w:rsid w:val="00E4691E"/>
    <w:rsid w:val="00E65193"/>
    <w:rsid w:val="00E734FE"/>
    <w:rsid w:val="00E74A60"/>
    <w:rsid w:val="00E83586"/>
    <w:rsid w:val="00E86A2A"/>
    <w:rsid w:val="00E96B5B"/>
    <w:rsid w:val="00EE57C6"/>
    <w:rsid w:val="00F01A5A"/>
    <w:rsid w:val="00F04274"/>
    <w:rsid w:val="00F41800"/>
    <w:rsid w:val="00F477B7"/>
    <w:rsid w:val="00F702C6"/>
    <w:rsid w:val="00F94E3A"/>
    <w:rsid w:val="00FC6EE2"/>
    <w:rsid w:val="00FE1590"/>
    <w:rsid w:val="00FE35F8"/>
    <w:rsid w:val="00FE5A30"/>
    <w:rsid w:val="00FF4BAB"/>
    <w:rsid w:val="0815486E"/>
    <w:rsid w:val="0A217A69"/>
    <w:rsid w:val="0D7B1642"/>
    <w:rsid w:val="0E7A6CC3"/>
    <w:rsid w:val="11823A2F"/>
    <w:rsid w:val="12565B19"/>
    <w:rsid w:val="17AC174F"/>
    <w:rsid w:val="398144ED"/>
    <w:rsid w:val="3C4D6B63"/>
    <w:rsid w:val="43EA6A36"/>
    <w:rsid w:val="4EAB07AD"/>
    <w:rsid w:val="52873FAC"/>
    <w:rsid w:val="52DF0F27"/>
    <w:rsid w:val="5B5D0BFA"/>
    <w:rsid w:val="667E2DB3"/>
    <w:rsid w:val="6E161636"/>
    <w:rsid w:val="6FEE70E9"/>
    <w:rsid w:val="711E3A66"/>
    <w:rsid w:val="76CC3D72"/>
    <w:rsid w:val="77B6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autoRedefine/>
    <w:qFormat/>
    <w:uiPriority w:val="0"/>
    <w:pPr>
      <w:spacing w:beforeAutospacing="1" w:afterAutospacing="1"/>
      <w:outlineLvl w:val="0"/>
    </w:pPr>
    <w:rPr>
      <w:rFonts w:hint="eastAsia" w:ascii="宋体" w:hAnsi="宋体" w:eastAsia="宋体"/>
      <w:b/>
      <w:bCs/>
      <w:color w:val="000000" w:themeColor="text1"/>
      <w:kern w:val="2"/>
      <w:sz w:val="48"/>
      <w:szCs w:val="48"/>
      <w14:textFill>
        <w14:solidFill>
          <w14:schemeClr w14:val="tx1"/>
        </w14:solidFill>
      </w14:textFill>
    </w:rPr>
  </w:style>
  <w:style w:type="paragraph" w:styleId="3">
    <w:name w:val="heading 2"/>
    <w:basedOn w:val="1"/>
    <w:next w:val="1"/>
    <w:autoRedefine/>
    <w:semiHidden/>
    <w:unhideWhenUsed/>
    <w:qFormat/>
    <w:uiPriority w:val="0"/>
    <w:pPr>
      <w:spacing w:beforeAutospacing="1" w:afterAutospacing="1"/>
      <w:outlineLvl w:val="1"/>
    </w:pPr>
    <w:rPr>
      <w:rFonts w:hint="eastAsia" w:ascii="宋体" w:hAnsi="宋体" w:eastAsia="宋体"/>
      <w:b/>
      <w:bCs/>
      <w:color w:val="000000" w:themeColor="text1"/>
      <w:sz w:val="36"/>
      <w:szCs w:val="36"/>
      <w14:textFill>
        <w14:solidFill>
          <w14:schemeClr w14:val="tx1"/>
        </w14:solidFill>
      </w14:textFill>
    </w:rPr>
  </w:style>
  <w:style w:type="paragraph" w:styleId="4">
    <w:name w:val="heading 3"/>
    <w:basedOn w:val="1"/>
    <w:next w:val="1"/>
    <w:autoRedefine/>
    <w:semiHidden/>
    <w:unhideWhenUsed/>
    <w:qFormat/>
    <w:uiPriority w:val="0"/>
    <w:pPr>
      <w:spacing w:beforeAutospacing="1" w:afterAutospacing="1"/>
      <w:outlineLvl w:val="2"/>
    </w:pPr>
    <w:rPr>
      <w:rFonts w:hint="eastAsia" w:ascii="宋体" w:hAnsi="宋体" w:eastAsia="宋体"/>
      <w:b/>
      <w:bCs/>
      <w:color w:val="000000" w:themeColor="text1"/>
      <w:sz w:val="27"/>
      <w:szCs w:val="27"/>
      <w14:textFill>
        <w14:solidFill>
          <w14:schemeClr w14:val="tx1"/>
        </w14:solidFill>
      </w14:textFill>
    </w:rPr>
  </w:style>
  <w:style w:type="paragraph" w:styleId="5">
    <w:name w:val="heading 4"/>
    <w:basedOn w:val="1"/>
    <w:next w:val="1"/>
    <w:autoRedefine/>
    <w:semiHidden/>
    <w:unhideWhenUsed/>
    <w:qFormat/>
    <w:uiPriority w:val="0"/>
    <w:pPr>
      <w:spacing w:beforeAutospacing="1" w:afterAutospacing="1"/>
      <w:outlineLvl w:val="3"/>
    </w:pPr>
    <w:rPr>
      <w:rFonts w:hint="eastAsia" w:ascii="宋体" w:hAnsi="宋体" w:eastAsia="宋体"/>
      <w:b/>
      <w:bCs/>
    </w:rPr>
  </w:style>
  <w:style w:type="paragraph" w:styleId="6">
    <w:name w:val="heading 5"/>
    <w:basedOn w:val="1"/>
    <w:next w:val="1"/>
    <w:autoRedefine/>
    <w:semiHidden/>
    <w:unhideWhenUsed/>
    <w:qFormat/>
    <w:uiPriority w:val="0"/>
    <w:pPr>
      <w:spacing w:beforeAutospacing="1" w:afterAutospacing="1"/>
      <w:outlineLvl w:val="4"/>
    </w:pPr>
    <w:rPr>
      <w:rFonts w:hint="eastAsia" w:ascii="宋体" w:hAnsi="宋体" w:eastAsia="宋体"/>
      <w:b/>
      <w:bCs/>
      <w:sz w:val="20"/>
      <w:szCs w:val="20"/>
    </w:rPr>
  </w:style>
  <w:style w:type="paragraph" w:styleId="7">
    <w:name w:val="heading 6"/>
    <w:basedOn w:val="1"/>
    <w:next w:val="1"/>
    <w:autoRedefine/>
    <w:semiHidden/>
    <w:unhideWhenUsed/>
    <w:qFormat/>
    <w:uiPriority w:val="0"/>
    <w:pPr>
      <w:spacing w:beforeAutospacing="1" w:afterAutospacing="1"/>
      <w:outlineLvl w:val="5"/>
    </w:pPr>
    <w:rPr>
      <w:rFonts w:hint="eastAsia" w:ascii="宋体" w:hAnsi="宋体" w:eastAsia="宋体"/>
      <w:b/>
      <w:bCs/>
      <w:sz w:val="15"/>
      <w:szCs w:val="15"/>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8">
    <w:name w:val="Date"/>
    <w:basedOn w:val="1"/>
    <w:next w:val="1"/>
    <w:link w:val="17"/>
    <w:uiPriority w:val="0"/>
    <w:pPr>
      <w:ind w:left="100" w:leftChars="2500"/>
    </w:pPr>
  </w:style>
  <w:style w:type="paragraph" w:styleId="9">
    <w:name w:val="footer"/>
    <w:basedOn w:val="1"/>
    <w:link w:val="19"/>
    <w:autoRedefine/>
    <w:qFormat/>
    <w:uiPriority w:val="0"/>
    <w:pPr>
      <w:tabs>
        <w:tab w:val="center" w:pos="4153"/>
        <w:tab w:val="right" w:pos="8306"/>
      </w:tabs>
      <w:snapToGrid w:val="0"/>
    </w:pPr>
    <w:rPr>
      <w:sz w:val="18"/>
      <w:szCs w:val="18"/>
    </w:rPr>
  </w:style>
  <w:style w:type="paragraph" w:styleId="10">
    <w:name w:val="header"/>
    <w:basedOn w:val="1"/>
    <w:link w:val="18"/>
    <w:uiPriority w:val="0"/>
    <w:pPr>
      <w:tabs>
        <w:tab w:val="center" w:pos="4153"/>
        <w:tab w:val="right" w:pos="8306"/>
      </w:tabs>
      <w:snapToGrid w:val="0"/>
      <w:jc w:val="center"/>
    </w:pPr>
    <w:rPr>
      <w:sz w:val="18"/>
      <w:szCs w:val="18"/>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12">
    <w:name w:val="Normal (Web)"/>
    <w:basedOn w:val="1"/>
    <w:qFormat/>
    <w:uiPriority w:val="0"/>
    <w:pPr>
      <w:spacing w:beforeAutospacing="1" w:afterAutospacing="1"/>
    </w:p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图表目录1"/>
    <w:basedOn w:val="1"/>
    <w:next w:val="1"/>
    <w:autoRedefine/>
    <w:qFormat/>
    <w:uiPriority w:val="0"/>
    <w:pPr>
      <w:ind w:left="200" w:leftChars="200" w:hanging="200" w:hangingChars="200"/>
    </w:pPr>
    <w:rPr>
      <w:rFonts w:ascii="Arial Unicode MS" w:hAnsi="Arial Unicode MS" w:eastAsia="Arial Unicode MS" w:cs="Arial Unicode MS"/>
      <w:color w:val="000000"/>
      <w:szCs w:val="32"/>
      <w:lang w:val="zh-CN"/>
    </w:rPr>
  </w:style>
  <w:style w:type="character" w:customStyle="1" w:styleId="17">
    <w:name w:val="日期 字符"/>
    <w:basedOn w:val="15"/>
    <w:link w:val="8"/>
    <w:autoRedefine/>
    <w:qFormat/>
    <w:uiPriority w:val="0"/>
    <w:rPr>
      <w:rFonts w:eastAsia="Times New Roman"/>
      <w:sz w:val="24"/>
      <w:szCs w:val="24"/>
    </w:rPr>
  </w:style>
  <w:style w:type="character" w:customStyle="1" w:styleId="18">
    <w:name w:val="页眉 字符"/>
    <w:basedOn w:val="15"/>
    <w:link w:val="10"/>
    <w:uiPriority w:val="0"/>
    <w:rPr>
      <w:rFonts w:eastAsia="Times New Roman"/>
      <w:sz w:val="18"/>
      <w:szCs w:val="18"/>
    </w:rPr>
  </w:style>
  <w:style w:type="character" w:customStyle="1" w:styleId="19">
    <w:name w:val="页脚 字符"/>
    <w:basedOn w:val="15"/>
    <w:link w:val="9"/>
    <w:uiPriority w:val="0"/>
    <w:rPr>
      <w:rFonts w:eastAsia="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snu</Company>
  <Pages>5</Pages>
  <Words>542</Words>
  <Characters>3094</Characters>
  <Lines>25</Lines>
  <Paragraphs>7</Paragraphs>
  <TotalTime>134</TotalTime>
  <ScaleCrop>false</ScaleCrop>
  <LinksUpToDate>false</LinksUpToDate>
  <CharactersWithSpaces>3629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2411-12-29T16:00:00Z</dcterms:created>
  <dc:creator>guoying</dc:creator>
  <cp:lastModifiedBy>周周</cp:lastModifiedBy>
  <cp:lastPrinted>2023-12-29T08:26:00Z</cp:lastPrinted>
  <dcterms:modified xsi:type="dcterms:W3CDTF">2024-01-19T06:58:51Z</dcterms:modified>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09A6B9278CBB4A43A1B8C036BF3EA5E6_13</vt:lpwstr>
  </property>
</Properties>
</file>